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46" w:rsidRDefault="002C1546" w:rsidP="002C1546">
      <w:pPr>
        <w:shd w:val="clear" w:color="auto" w:fill="FFFFFF"/>
        <w:spacing w:after="60" w:line="300" w:lineRule="atLeast"/>
        <w:jc w:val="center"/>
        <w:rPr>
          <w:rFonts w:ascii="Arial" w:eastAsia="Times New Roman" w:hAnsi="Arial" w:cs="Arial"/>
          <w:b/>
          <w:bCs/>
          <w:caps/>
          <w:sz w:val="28"/>
          <w:szCs w:val="28"/>
          <w:lang w:eastAsia="it-IT"/>
        </w:rPr>
      </w:pPr>
      <w:r w:rsidRPr="002C1546">
        <w:rPr>
          <w:rFonts w:ascii="Arial" w:eastAsia="Times New Roman" w:hAnsi="Arial" w:cs="Arial"/>
          <w:b/>
          <w:bCs/>
          <w:caps/>
          <w:sz w:val="28"/>
          <w:szCs w:val="28"/>
          <w:lang w:eastAsia="it-IT"/>
        </w:rPr>
        <w:t>CONFERENZA UNIFICATA DEL 15 SETTEMBRE 2016</w:t>
      </w:r>
    </w:p>
    <w:p w:rsidR="002C1546" w:rsidRDefault="002C1546" w:rsidP="002C1546">
      <w:pPr>
        <w:shd w:val="clear" w:color="auto" w:fill="FFFFFF"/>
        <w:spacing w:after="60" w:line="300" w:lineRule="atLeast"/>
        <w:jc w:val="center"/>
        <w:rPr>
          <w:rFonts w:ascii="Arial" w:eastAsia="Times New Roman" w:hAnsi="Arial" w:cs="Arial"/>
          <w:b/>
          <w:bCs/>
          <w:caps/>
          <w:sz w:val="28"/>
          <w:szCs w:val="28"/>
          <w:lang w:eastAsia="it-IT"/>
        </w:rPr>
      </w:pPr>
    </w:p>
    <w:p w:rsidR="002C1546" w:rsidRDefault="002C1546" w:rsidP="002C1546">
      <w:pPr>
        <w:shd w:val="clear" w:color="auto" w:fill="FFFFFF"/>
        <w:spacing w:after="60" w:line="300" w:lineRule="atLeast"/>
        <w:jc w:val="center"/>
        <w:rPr>
          <w:rFonts w:ascii="Arial" w:eastAsia="Times New Roman" w:hAnsi="Arial" w:cs="Arial"/>
          <w:b/>
          <w:bCs/>
          <w:caps/>
          <w:sz w:val="28"/>
          <w:szCs w:val="28"/>
          <w:lang w:eastAsia="it-IT"/>
        </w:rPr>
      </w:pPr>
      <w:r>
        <w:rPr>
          <w:rFonts w:ascii="Arial" w:eastAsia="Times New Roman" w:hAnsi="Arial" w:cs="Arial"/>
          <w:b/>
          <w:bCs/>
          <w:caps/>
          <w:sz w:val="28"/>
          <w:szCs w:val="28"/>
          <w:lang w:eastAsia="it-IT"/>
        </w:rPr>
        <w:t>report</w:t>
      </w:r>
    </w:p>
    <w:p w:rsidR="002C1546" w:rsidRPr="002C1546" w:rsidRDefault="002C1546" w:rsidP="002C1546">
      <w:pPr>
        <w:shd w:val="clear" w:color="auto" w:fill="FFFFFF"/>
        <w:spacing w:after="60" w:line="300" w:lineRule="atLeast"/>
        <w:jc w:val="center"/>
        <w:rPr>
          <w:rFonts w:ascii="Arial" w:eastAsia="Times New Roman" w:hAnsi="Arial" w:cs="Arial"/>
          <w:b/>
          <w:bCs/>
          <w:caps/>
          <w:sz w:val="28"/>
          <w:szCs w:val="28"/>
          <w:lang w:eastAsia="it-IT"/>
        </w:rPr>
      </w:pPr>
    </w:p>
    <w:p w:rsidR="002C1546" w:rsidRDefault="002C1546" w:rsidP="002C1546">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it-IT"/>
        </w:rPr>
      </w:pPr>
      <w:r w:rsidRPr="002C1546">
        <w:rPr>
          <w:rFonts w:ascii="Arial" w:eastAsia="Times New Roman" w:hAnsi="Arial" w:cs="Arial"/>
          <w:color w:val="000000"/>
          <w:sz w:val="17"/>
          <w:szCs w:val="17"/>
          <w:lang w:eastAsia="it-IT"/>
        </w:rPr>
        <w:t> </w:t>
      </w:r>
      <w:r w:rsidRPr="002C1546">
        <w:rPr>
          <w:rFonts w:ascii="Verdana" w:eastAsia="Times New Roman" w:hAnsi="Verdana" w:cs="Arial"/>
          <w:color w:val="000000"/>
          <w:sz w:val="20"/>
          <w:szCs w:val="20"/>
          <w:lang w:eastAsia="it-IT"/>
        </w:rPr>
        <w:t>APPROVAZIONE DEI VERBALI DELLE SEDUTE DEL 21 LUGLIO E DEL 3 AGOSTO 2016.</w:t>
      </w:r>
    </w:p>
    <w:p w:rsidR="003A2921" w:rsidRPr="003A2921" w:rsidRDefault="003A2921" w:rsidP="002C1546">
      <w:pPr>
        <w:shd w:val="clear" w:color="auto" w:fill="FFFFFF"/>
        <w:spacing w:before="100" w:beforeAutospacing="1" w:after="100" w:afterAutospacing="1" w:line="240" w:lineRule="auto"/>
        <w:jc w:val="both"/>
        <w:rPr>
          <w:rFonts w:ascii="Arial" w:eastAsia="Times New Roman" w:hAnsi="Arial" w:cs="Arial"/>
          <w:i/>
          <w:color w:val="000000"/>
          <w:sz w:val="20"/>
          <w:szCs w:val="20"/>
          <w:u w:val="single"/>
          <w:lang w:eastAsia="it-IT"/>
        </w:rPr>
      </w:pPr>
      <w:bookmarkStart w:id="0" w:name="_GoBack"/>
      <w:r w:rsidRPr="003A2921">
        <w:rPr>
          <w:rFonts w:ascii="Arial" w:eastAsia="Times New Roman" w:hAnsi="Arial" w:cs="Arial"/>
          <w:i/>
          <w:color w:val="000000"/>
          <w:sz w:val="20"/>
          <w:szCs w:val="20"/>
          <w:u w:val="single"/>
          <w:lang w:eastAsia="it-IT"/>
        </w:rPr>
        <w:t>Approvati</w:t>
      </w:r>
    </w:p>
    <w:bookmarkEnd w:id="0"/>
    <w:p w:rsidR="002C1546" w:rsidRPr="002C1546" w:rsidRDefault="002C1546" w:rsidP="002C1546">
      <w:pPr>
        <w:shd w:val="clear" w:color="auto" w:fill="FFFFFF"/>
        <w:spacing w:before="100" w:beforeAutospacing="1" w:after="100" w:afterAutospacing="1" w:line="240" w:lineRule="auto"/>
        <w:jc w:val="center"/>
        <w:rPr>
          <w:rFonts w:ascii="Arial" w:eastAsia="Times New Roman" w:hAnsi="Arial" w:cs="Arial"/>
          <w:color w:val="000000"/>
          <w:sz w:val="17"/>
          <w:szCs w:val="17"/>
          <w:lang w:eastAsia="it-IT"/>
        </w:rPr>
      </w:pPr>
      <w:r w:rsidRPr="002C1546">
        <w:rPr>
          <w:rFonts w:ascii="Verdana" w:eastAsia="Times New Roman" w:hAnsi="Verdana" w:cs="Arial"/>
          <w:b/>
          <w:bCs/>
          <w:color w:val="000000"/>
          <w:sz w:val="20"/>
          <w:szCs w:val="20"/>
          <w:lang w:eastAsia="it-IT"/>
        </w:rPr>
        <w:t> Punto 1) all’</w:t>
      </w:r>
      <w:proofErr w:type="spellStart"/>
      <w:r w:rsidRPr="002C1546">
        <w:rPr>
          <w:rFonts w:ascii="Verdana" w:eastAsia="Times New Roman" w:hAnsi="Verdana" w:cs="Arial"/>
          <w:b/>
          <w:bCs/>
          <w:color w:val="000000"/>
          <w:sz w:val="20"/>
          <w:szCs w:val="20"/>
          <w:lang w:eastAsia="it-IT"/>
        </w:rPr>
        <w:t>O.d.G.</w:t>
      </w:r>
      <w:proofErr w:type="spellEnd"/>
      <w:r w:rsidRPr="002C1546">
        <w:rPr>
          <w:rFonts w:ascii="Verdana" w:eastAsia="Times New Roman" w:hAnsi="Verdana" w:cs="Arial"/>
          <w:b/>
          <w:bCs/>
          <w:color w:val="000000"/>
          <w:sz w:val="20"/>
          <w:szCs w:val="20"/>
          <w:lang w:eastAsia="it-IT"/>
        </w:rPr>
        <w:t>:</w:t>
      </w:r>
    </w:p>
    <w:p w:rsidR="002C1546" w:rsidRPr="002C1546" w:rsidRDefault="002C1546" w:rsidP="002C1546">
      <w:pPr>
        <w:shd w:val="clear" w:color="auto" w:fill="FFFFFF"/>
        <w:spacing w:after="0" w:line="240" w:lineRule="auto"/>
        <w:jc w:val="both"/>
        <w:rPr>
          <w:rFonts w:ascii="Arial" w:eastAsia="Times New Roman" w:hAnsi="Arial" w:cs="Arial"/>
          <w:color w:val="000000"/>
          <w:sz w:val="17"/>
          <w:szCs w:val="17"/>
          <w:lang w:eastAsia="it-IT"/>
        </w:rPr>
      </w:pPr>
      <w:r w:rsidRPr="002C1546">
        <w:rPr>
          <w:rFonts w:ascii="Verdana" w:eastAsia="Times New Roman" w:hAnsi="Verdana" w:cs="Arial"/>
          <w:color w:val="000000"/>
          <w:sz w:val="20"/>
          <w:szCs w:val="20"/>
          <w:lang w:eastAsia="it-IT"/>
        </w:rPr>
        <w:t>INTESA TRA GOVERNO, REGIONI ED ENTI LOCALI CONCERNENTI LE CARATTERISTICHE DEI PUNTI DI RACCOLTA DEL GIOCO PUBBLICO DI CUI ALL’ARTICOLO 1, COMMA 936, DELLA LEGGE 28 DICEMBRE 2015, N. 208. (LEGGE DI STABILITA’ 2016) (ECONOMIA E FINANZE)</w:t>
      </w:r>
    </w:p>
    <w:p w:rsidR="002C1546" w:rsidRDefault="002C1546" w:rsidP="002C1546">
      <w:pPr>
        <w:shd w:val="clear" w:color="auto" w:fill="FFFFFF"/>
        <w:spacing w:after="0" w:line="240" w:lineRule="auto"/>
        <w:jc w:val="both"/>
        <w:rPr>
          <w:rFonts w:ascii="Verdana" w:eastAsia="Times New Roman" w:hAnsi="Verdana" w:cs="Arial"/>
          <w:i/>
          <w:iCs/>
          <w:color w:val="000000"/>
          <w:sz w:val="20"/>
          <w:szCs w:val="20"/>
          <w:lang w:eastAsia="it-IT"/>
        </w:rPr>
      </w:pPr>
      <w:r w:rsidRPr="002C1546">
        <w:rPr>
          <w:rFonts w:ascii="Verdana" w:eastAsia="Times New Roman" w:hAnsi="Verdana" w:cs="Arial"/>
          <w:i/>
          <w:iCs/>
          <w:color w:val="000000"/>
          <w:sz w:val="20"/>
          <w:szCs w:val="20"/>
          <w:lang w:eastAsia="it-IT"/>
        </w:rPr>
        <w:t>Intesa, ai sensi dell’articolo 1, comma 936, della legge 28 dicembre 2015, n. 208. (Legge di stabilità 2016)</w:t>
      </w: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lang w:eastAsia="it-IT"/>
        </w:rPr>
      </w:pPr>
    </w:p>
    <w:p w:rsidR="00C907BA" w:rsidRPr="00C907BA" w:rsidRDefault="00C907BA" w:rsidP="002C1546">
      <w:pPr>
        <w:shd w:val="clear" w:color="auto" w:fill="FFFFFF"/>
        <w:spacing w:after="0" w:line="240" w:lineRule="auto"/>
        <w:jc w:val="both"/>
        <w:rPr>
          <w:rFonts w:ascii="Arial" w:eastAsia="Times New Roman" w:hAnsi="Arial" w:cs="Arial"/>
          <w:color w:val="000000"/>
          <w:sz w:val="17"/>
          <w:szCs w:val="17"/>
          <w:u w:val="single"/>
          <w:lang w:eastAsia="it-IT"/>
        </w:rPr>
      </w:pPr>
      <w:r w:rsidRPr="00C907BA">
        <w:rPr>
          <w:rFonts w:ascii="Verdana" w:eastAsia="Times New Roman" w:hAnsi="Verdana" w:cs="Arial"/>
          <w:i/>
          <w:iCs/>
          <w:color w:val="000000"/>
          <w:sz w:val="20"/>
          <w:szCs w:val="20"/>
          <w:u w:val="single"/>
          <w:lang w:eastAsia="it-IT"/>
        </w:rPr>
        <w:t>RINVIO</w:t>
      </w:r>
    </w:p>
    <w:p w:rsidR="002C1546" w:rsidRPr="002C1546" w:rsidRDefault="002C1546" w:rsidP="002C1546">
      <w:pPr>
        <w:shd w:val="clear" w:color="auto" w:fill="FFFFFF"/>
        <w:spacing w:before="100" w:beforeAutospacing="1" w:after="100" w:afterAutospacing="1" w:line="240" w:lineRule="auto"/>
        <w:jc w:val="center"/>
        <w:rPr>
          <w:rFonts w:ascii="Arial" w:eastAsia="Times New Roman" w:hAnsi="Arial" w:cs="Arial"/>
          <w:color w:val="000000"/>
          <w:sz w:val="17"/>
          <w:szCs w:val="17"/>
          <w:lang w:eastAsia="it-IT"/>
        </w:rPr>
      </w:pPr>
      <w:r w:rsidRPr="002C1546">
        <w:rPr>
          <w:rFonts w:ascii="Verdana" w:eastAsia="Times New Roman" w:hAnsi="Verdana" w:cs="Arial"/>
          <w:i/>
          <w:iCs/>
          <w:color w:val="000000"/>
          <w:sz w:val="20"/>
          <w:szCs w:val="20"/>
          <w:lang w:eastAsia="it-IT"/>
        </w:rPr>
        <w:t> </w:t>
      </w:r>
      <w:r w:rsidRPr="002C1546">
        <w:rPr>
          <w:rFonts w:ascii="Verdana" w:eastAsia="Times New Roman" w:hAnsi="Verdana" w:cs="Arial"/>
          <w:b/>
          <w:bCs/>
          <w:color w:val="000000"/>
          <w:sz w:val="20"/>
          <w:szCs w:val="20"/>
          <w:lang w:eastAsia="it-IT"/>
        </w:rPr>
        <w:t>Punto 2) all’</w:t>
      </w:r>
      <w:proofErr w:type="spellStart"/>
      <w:r w:rsidRPr="002C1546">
        <w:rPr>
          <w:rFonts w:ascii="Verdana" w:eastAsia="Times New Roman" w:hAnsi="Verdana" w:cs="Arial"/>
          <w:b/>
          <w:bCs/>
          <w:color w:val="000000"/>
          <w:sz w:val="20"/>
          <w:szCs w:val="20"/>
          <w:lang w:eastAsia="it-IT"/>
        </w:rPr>
        <w:t>O.d.G.</w:t>
      </w:r>
      <w:proofErr w:type="spellEnd"/>
      <w:r w:rsidRPr="002C1546">
        <w:rPr>
          <w:rFonts w:ascii="Verdana" w:eastAsia="Times New Roman" w:hAnsi="Verdana" w:cs="Arial"/>
          <w:b/>
          <w:bCs/>
          <w:color w:val="000000"/>
          <w:sz w:val="20"/>
          <w:szCs w:val="20"/>
          <w:lang w:eastAsia="it-IT"/>
        </w:rPr>
        <w:t>:</w:t>
      </w:r>
    </w:p>
    <w:p w:rsidR="002C1546" w:rsidRPr="002C1546" w:rsidRDefault="002C1546" w:rsidP="002C1546">
      <w:pPr>
        <w:shd w:val="clear" w:color="auto" w:fill="FFFFFF"/>
        <w:spacing w:after="0" w:line="240" w:lineRule="auto"/>
        <w:jc w:val="both"/>
        <w:rPr>
          <w:rFonts w:ascii="Arial" w:eastAsia="Times New Roman" w:hAnsi="Arial" w:cs="Arial"/>
          <w:color w:val="000000"/>
          <w:sz w:val="17"/>
          <w:szCs w:val="17"/>
          <w:lang w:eastAsia="it-IT"/>
        </w:rPr>
      </w:pPr>
      <w:r w:rsidRPr="002C1546">
        <w:rPr>
          <w:rFonts w:ascii="Verdana" w:eastAsia="Times New Roman" w:hAnsi="Verdana" w:cs="Arial"/>
          <w:color w:val="000000"/>
          <w:sz w:val="20"/>
          <w:szCs w:val="20"/>
          <w:lang w:eastAsia="it-IT"/>
        </w:rPr>
        <w:t>ACQUISIZIONE DELLE DESIGNAZIONI DEI RAPPRESENTANTI DELLA CONFERENZA UNIFICATA IN SENO AL NUCLEO TECNICO OPERATIVO “PREVISTO ALL’ARTICOLO 3 DELL’ACCORDO TRA IL GOVERNO, LE REGIONI E LE AUTONOMIE LOCALI PER LA COSTITUZIONE DEL TAVOLO DI COORDINAMENTO INTERISTITUZIONALE CONCERNENTE LA GESTIONE DELLE PROBLEMATICHE RELATIVE ALL’AMIANTO (REP. ATTI N. 66/CU DEL 5 MAGGIO 2016)”. (SALUTE - AMBIENTE E TUTELA DEL TERRITORIO E DEL MARE - LAVORO E POLITICHE SOCIALI - GIUSTIZIA)</w:t>
      </w:r>
    </w:p>
    <w:p w:rsidR="002C1546" w:rsidRDefault="002C1546" w:rsidP="002C1546">
      <w:pPr>
        <w:shd w:val="clear" w:color="auto" w:fill="FFFFFF"/>
        <w:spacing w:after="0" w:line="240" w:lineRule="auto"/>
        <w:jc w:val="both"/>
        <w:rPr>
          <w:rFonts w:ascii="Verdana" w:eastAsia="Times New Roman" w:hAnsi="Verdana" w:cs="Arial"/>
          <w:i/>
          <w:iCs/>
          <w:color w:val="000000"/>
          <w:sz w:val="20"/>
          <w:szCs w:val="20"/>
          <w:lang w:eastAsia="it-IT"/>
        </w:rPr>
      </w:pPr>
      <w:r w:rsidRPr="002C1546">
        <w:rPr>
          <w:rFonts w:ascii="Verdana" w:eastAsia="Times New Roman" w:hAnsi="Verdana" w:cs="Arial"/>
          <w:i/>
          <w:iCs/>
          <w:color w:val="000000"/>
          <w:sz w:val="20"/>
          <w:szCs w:val="20"/>
          <w:lang w:eastAsia="it-IT"/>
        </w:rPr>
        <w:t>Acquisizione delle designazioni, ai sensi dell’articolo 2, comma 1, lettera d), del decreto legislativo 28 agosto 1997, n. 281.</w:t>
      </w: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lang w:eastAsia="it-IT"/>
        </w:rPr>
      </w:pPr>
    </w:p>
    <w:p w:rsidR="00C907BA" w:rsidRPr="00C907BA" w:rsidRDefault="00C907BA" w:rsidP="002C1546">
      <w:pPr>
        <w:shd w:val="clear" w:color="auto" w:fill="FFFFFF"/>
        <w:spacing w:after="0" w:line="240" w:lineRule="auto"/>
        <w:jc w:val="both"/>
        <w:rPr>
          <w:rFonts w:ascii="Arial" w:eastAsia="Times New Roman" w:hAnsi="Arial" w:cs="Arial"/>
          <w:color w:val="000000"/>
          <w:sz w:val="17"/>
          <w:szCs w:val="17"/>
          <w:u w:val="single"/>
          <w:lang w:eastAsia="it-IT"/>
        </w:rPr>
      </w:pPr>
      <w:r>
        <w:rPr>
          <w:rFonts w:ascii="Verdana" w:eastAsia="Times New Roman" w:hAnsi="Verdana" w:cs="Arial"/>
          <w:i/>
          <w:iCs/>
          <w:color w:val="000000"/>
          <w:sz w:val="20"/>
          <w:szCs w:val="20"/>
          <w:u w:val="single"/>
          <w:lang w:eastAsia="it-IT"/>
        </w:rPr>
        <w:t>Designazioni rese</w:t>
      </w:r>
    </w:p>
    <w:p w:rsidR="002C1546" w:rsidRPr="002C1546" w:rsidRDefault="002C1546" w:rsidP="002C1546">
      <w:pPr>
        <w:shd w:val="clear" w:color="auto" w:fill="FFFFFF"/>
        <w:spacing w:before="100" w:beforeAutospacing="1" w:after="100" w:afterAutospacing="1" w:line="240" w:lineRule="auto"/>
        <w:jc w:val="center"/>
        <w:rPr>
          <w:rFonts w:ascii="Arial" w:eastAsia="Times New Roman" w:hAnsi="Arial" w:cs="Arial"/>
          <w:color w:val="000000"/>
          <w:sz w:val="17"/>
          <w:szCs w:val="17"/>
          <w:lang w:eastAsia="it-IT"/>
        </w:rPr>
      </w:pPr>
      <w:r w:rsidRPr="002C1546">
        <w:rPr>
          <w:rFonts w:ascii="Verdana" w:eastAsia="Times New Roman" w:hAnsi="Verdana" w:cs="Arial"/>
          <w:b/>
          <w:bCs/>
          <w:color w:val="000000"/>
          <w:sz w:val="20"/>
          <w:szCs w:val="20"/>
          <w:lang w:eastAsia="it-IT"/>
        </w:rPr>
        <w:t>Punto 3) all’</w:t>
      </w:r>
      <w:proofErr w:type="spellStart"/>
      <w:r w:rsidRPr="002C1546">
        <w:rPr>
          <w:rFonts w:ascii="Verdana" w:eastAsia="Times New Roman" w:hAnsi="Verdana" w:cs="Arial"/>
          <w:b/>
          <w:bCs/>
          <w:color w:val="000000"/>
          <w:sz w:val="20"/>
          <w:szCs w:val="20"/>
          <w:lang w:eastAsia="it-IT"/>
        </w:rPr>
        <w:t>O.d.G.</w:t>
      </w:r>
      <w:proofErr w:type="spellEnd"/>
      <w:r w:rsidRPr="002C1546">
        <w:rPr>
          <w:rFonts w:ascii="Verdana" w:eastAsia="Times New Roman" w:hAnsi="Verdana" w:cs="Arial"/>
          <w:b/>
          <w:bCs/>
          <w:color w:val="000000"/>
          <w:sz w:val="20"/>
          <w:szCs w:val="20"/>
          <w:lang w:eastAsia="it-IT"/>
        </w:rPr>
        <w:t>:</w:t>
      </w:r>
    </w:p>
    <w:p w:rsidR="002C1546" w:rsidRPr="002C1546" w:rsidRDefault="002C1546" w:rsidP="002C1546">
      <w:pPr>
        <w:shd w:val="clear" w:color="auto" w:fill="FFFFFF"/>
        <w:spacing w:after="0" w:line="240" w:lineRule="auto"/>
        <w:jc w:val="both"/>
        <w:rPr>
          <w:rFonts w:ascii="Arial" w:eastAsia="Times New Roman" w:hAnsi="Arial" w:cs="Arial"/>
          <w:color w:val="000000"/>
          <w:sz w:val="17"/>
          <w:szCs w:val="17"/>
          <w:lang w:eastAsia="it-IT"/>
        </w:rPr>
      </w:pPr>
      <w:r w:rsidRPr="002C1546">
        <w:rPr>
          <w:rFonts w:ascii="Verdana" w:eastAsia="Times New Roman" w:hAnsi="Verdana" w:cs="Arial"/>
          <w:color w:val="000000"/>
          <w:sz w:val="20"/>
          <w:szCs w:val="20"/>
          <w:lang w:eastAsia="it-IT"/>
        </w:rPr>
        <w:t>DESIGNAZIONE DEI RAPPRESENTANTI DELLE REGIONI E DEGLI ENTI LOCALI IN SENO ALLA CABINA DI REGIA DI CUI ALL’ARTICOLO 212 DEL DECRETO LEGISLATIVO 18 APRILE 2016, N. 50. (INFRASTRUTTURE E TRASPORTI)</w:t>
      </w:r>
    </w:p>
    <w:p w:rsidR="002C1546" w:rsidRDefault="002C1546" w:rsidP="002C1546">
      <w:pPr>
        <w:shd w:val="clear" w:color="auto" w:fill="FFFFFF"/>
        <w:spacing w:after="0" w:line="240" w:lineRule="auto"/>
        <w:jc w:val="both"/>
        <w:rPr>
          <w:rFonts w:ascii="Verdana" w:eastAsia="Times New Roman" w:hAnsi="Verdana" w:cs="Arial"/>
          <w:i/>
          <w:iCs/>
          <w:color w:val="000000"/>
          <w:sz w:val="20"/>
          <w:szCs w:val="20"/>
          <w:lang w:eastAsia="it-IT"/>
        </w:rPr>
      </w:pPr>
      <w:r w:rsidRPr="002C1546">
        <w:rPr>
          <w:rFonts w:ascii="Verdana" w:eastAsia="Times New Roman" w:hAnsi="Verdana" w:cs="Arial"/>
          <w:i/>
          <w:iCs/>
          <w:color w:val="000000"/>
          <w:sz w:val="20"/>
          <w:szCs w:val="20"/>
          <w:lang w:eastAsia="it-IT"/>
        </w:rPr>
        <w:t>Designazione ai sensi dell’articolo 2 del decreto del Presidente del Consiglio dei Ministri 10 agosto 2016.</w:t>
      </w:r>
    </w:p>
    <w:p w:rsidR="00C907BA" w:rsidRPr="00C907BA" w:rsidRDefault="00C907BA" w:rsidP="00C907BA">
      <w:pPr>
        <w:shd w:val="clear" w:color="auto" w:fill="FFFFFF"/>
        <w:spacing w:after="0" w:line="240" w:lineRule="auto"/>
        <w:jc w:val="both"/>
        <w:rPr>
          <w:rFonts w:ascii="Arial" w:eastAsia="Times New Roman" w:hAnsi="Arial" w:cs="Arial"/>
          <w:color w:val="000000"/>
          <w:sz w:val="17"/>
          <w:szCs w:val="17"/>
          <w:u w:val="single"/>
          <w:lang w:eastAsia="it-IT"/>
        </w:rPr>
      </w:pPr>
      <w:r>
        <w:rPr>
          <w:rFonts w:ascii="Verdana" w:eastAsia="Times New Roman" w:hAnsi="Verdana" w:cs="Arial"/>
          <w:i/>
          <w:iCs/>
          <w:color w:val="000000"/>
          <w:sz w:val="20"/>
          <w:szCs w:val="20"/>
          <w:u w:val="single"/>
          <w:lang w:eastAsia="it-IT"/>
        </w:rPr>
        <w:t>Designazioni rese</w:t>
      </w: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lang w:eastAsia="it-IT"/>
        </w:rPr>
      </w:pPr>
    </w:p>
    <w:p w:rsidR="00C907BA" w:rsidRPr="002C1546" w:rsidRDefault="00C907BA" w:rsidP="002C1546">
      <w:pPr>
        <w:shd w:val="clear" w:color="auto" w:fill="FFFFFF"/>
        <w:spacing w:after="0" w:line="240" w:lineRule="auto"/>
        <w:jc w:val="both"/>
        <w:rPr>
          <w:rFonts w:ascii="Arial" w:eastAsia="Times New Roman" w:hAnsi="Arial" w:cs="Arial"/>
          <w:color w:val="000000"/>
          <w:sz w:val="17"/>
          <w:szCs w:val="17"/>
          <w:lang w:eastAsia="it-IT"/>
        </w:rPr>
      </w:pPr>
    </w:p>
    <w:p w:rsidR="002C1546" w:rsidRPr="002C1546" w:rsidRDefault="002C1546" w:rsidP="002C1546">
      <w:pPr>
        <w:shd w:val="clear" w:color="auto" w:fill="FFFFFF"/>
        <w:spacing w:before="100" w:beforeAutospacing="1" w:after="100" w:afterAutospacing="1" w:line="240" w:lineRule="auto"/>
        <w:jc w:val="center"/>
        <w:rPr>
          <w:rFonts w:ascii="Arial" w:eastAsia="Times New Roman" w:hAnsi="Arial" w:cs="Arial"/>
          <w:color w:val="000000"/>
          <w:sz w:val="17"/>
          <w:szCs w:val="17"/>
          <w:lang w:eastAsia="it-IT"/>
        </w:rPr>
      </w:pPr>
      <w:r w:rsidRPr="002C1546">
        <w:rPr>
          <w:rFonts w:ascii="Verdana" w:eastAsia="Times New Roman" w:hAnsi="Verdana" w:cs="Arial"/>
          <w:b/>
          <w:bCs/>
          <w:color w:val="000000"/>
          <w:sz w:val="20"/>
          <w:szCs w:val="20"/>
          <w:lang w:eastAsia="it-IT"/>
        </w:rPr>
        <w:t>Punto 4) all’</w:t>
      </w:r>
      <w:proofErr w:type="spellStart"/>
      <w:r w:rsidRPr="002C1546">
        <w:rPr>
          <w:rFonts w:ascii="Verdana" w:eastAsia="Times New Roman" w:hAnsi="Verdana" w:cs="Arial"/>
          <w:b/>
          <w:bCs/>
          <w:color w:val="000000"/>
          <w:sz w:val="20"/>
          <w:szCs w:val="20"/>
          <w:lang w:eastAsia="it-IT"/>
        </w:rPr>
        <w:t>O.d.G.</w:t>
      </w:r>
      <w:proofErr w:type="spellEnd"/>
      <w:r w:rsidRPr="002C1546">
        <w:rPr>
          <w:rFonts w:ascii="Verdana" w:eastAsia="Times New Roman" w:hAnsi="Verdana" w:cs="Arial"/>
          <w:b/>
          <w:bCs/>
          <w:color w:val="000000"/>
          <w:sz w:val="20"/>
          <w:szCs w:val="20"/>
          <w:lang w:eastAsia="it-IT"/>
        </w:rPr>
        <w:t>:</w:t>
      </w:r>
    </w:p>
    <w:p w:rsidR="002C1546" w:rsidRPr="002C1546" w:rsidRDefault="002C1546" w:rsidP="002C1546">
      <w:pPr>
        <w:shd w:val="clear" w:color="auto" w:fill="FFFFFF"/>
        <w:spacing w:after="0" w:line="240" w:lineRule="auto"/>
        <w:jc w:val="both"/>
        <w:rPr>
          <w:rFonts w:ascii="Arial" w:eastAsia="Times New Roman" w:hAnsi="Arial" w:cs="Arial"/>
          <w:color w:val="000000"/>
          <w:sz w:val="17"/>
          <w:szCs w:val="17"/>
          <w:lang w:eastAsia="it-IT"/>
        </w:rPr>
      </w:pPr>
      <w:r w:rsidRPr="002C1546">
        <w:rPr>
          <w:rFonts w:ascii="Verdana" w:eastAsia="Times New Roman" w:hAnsi="Verdana" w:cs="Arial"/>
          <w:color w:val="000000"/>
          <w:sz w:val="20"/>
          <w:szCs w:val="20"/>
          <w:lang w:eastAsia="it-IT"/>
        </w:rPr>
        <w:t>INTESA SULLO SCHEMA DI DECRETO DEL MINISTRO DEI BENI E DELLE ATTIVITÀ CULTURALI E DEL TURISMO CONCERNENTE MODIFICHE AL DECRETO MINISTERIALE 1° LUGLIO 2014 RECANTE “NUOVI CRITERI PER L’EROGAZIONE E MODALITÀ PER LA LIQUIDAZIONE E L’ANTICIPAZIONE DI CONTRIBUTI ALLO SPETTACOLO DAL VIVO, A VALERE SUL FONDO UNICO PER LO SPETTACOLO, DI CUI ALLA LEGGE 30 APRILE 1985, N. 163”. (BENI E ATTIVITA’ CULTURALI E TURISMO)</w:t>
      </w:r>
    </w:p>
    <w:p w:rsidR="002C1546" w:rsidRDefault="002C1546" w:rsidP="002C1546">
      <w:pPr>
        <w:shd w:val="clear" w:color="auto" w:fill="FFFFFF"/>
        <w:spacing w:after="0" w:line="240" w:lineRule="auto"/>
        <w:jc w:val="both"/>
        <w:rPr>
          <w:rFonts w:ascii="Verdana" w:eastAsia="Times New Roman" w:hAnsi="Verdana" w:cs="Arial"/>
          <w:i/>
          <w:iCs/>
          <w:color w:val="000000"/>
          <w:sz w:val="20"/>
          <w:szCs w:val="20"/>
          <w:lang w:eastAsia="it-IT"/>
        </w:rPr>
      </w:pPr>
      <w:r w:rsidRPr="002C1546">
        <w:rPr>
          <w:rFonts w:ascii="Verdana" w:eastAsia="Times New Roman" w:hAnsi="Verdana" w:cs="Arial"/>
          <w:i/>
          <w:iCs/>
          <w:color w:val="000000"/>
          <w:sz w:val="20"/>
          <w:szCs w:val="20"/>
          <w:lang w:eastAsia="it-IT"/>
        </w:rPr>
        <w:t>Intesa ai sensi dell’articolo 1, comma 3, della legge 15 novembre 2005, n. 239.</w:t>
      </w: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lang w:eastAsia="it-IT"/>
        </w:rPr>
      </w:pP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u w:val="single"/>
          <w:lang w:eastAsia="it-IT"/>
        </w:rPr>
      </w:pPr>
      <w:r>
        <w:rPr>
          <w:rFonts w:ascii="Verdana" w:eastAsia="Times New Roman" w:hAnsi="Verdana" w:cs="Arial"/>
          <w:i/>
          <w:iCs/>
          <w:color w:val="000000"/>
          <w:sz w:val="20"/>
          <w:szCs w:val="20"/>
          <w:u w:val="single"/>
          <w:lang w:eastAsia="it-IT"/>
        </w:rPr>
        <w:t>Sancita Intesa</w:t>
      </w:r>
    </w:p>
    <w:p w:rsidR="00C907BA" w:rsidRDefault="00C907BA" w:rsidP="002C1546">
      <w:pPr>
        <w:shd w:val="clear" w:color="auto" w:fill="FFFFFF"/>
        <w:spacing w:after="0" w:line="240" w:lineRule="auto"/>
        <w:jc w:val="both"/>
        <w:rPr>
          <w:rFonts w:ascii="Verdana" w:eastAsia="Times New Roman" w:hAnsi="Verdana" w:cs="Arial"/>
          <w:i/>
          <w:iCs/>
          <w:color w:val="000000"/>
          <w:sz w:val="20"/>
          <w:szCs w:val="20"/>
          <w:u w:val="single"/>
          <w:lang w:eastAsia="it-IT"/>
        </w:rPr>
      </w:pPr>
    </w:p>
    <w:p w:rsidR="00C907BA" w:rsidRPr="00C907BA" w:rsidRDefault="00C907BA" w:rsidP="002C1546">
      <w:pPr>
        <w:shd w:val="clear" w:color="auto" w:fill="FFFFFF"/>
        <w:spacing w:after="0" w:line="240" w:lineRule="auto"/>
        <w:jc w:val="both"/>
        <w:rPr>
          <w:rFonts w:ascii="Arial" w:eastAsia="Times New Roman" w:hAnsi="Arial" w:cs="Arial"/>
          <w:color w:val="000000"/>
          <w:sz w:val="17"/>
          <w:szCs w:val="17"/>
          <w:u w:val="single"/>
          <w:lang w:eastAsia="it-IT"/>
        </w:rPr>
      </w:pPr>
    </w:p>
    <w:p w:rsidR="002C1546" w:rsidRPr="002C1546" w:rsidRDefault="002C1546" w:rsidP="002C1546">
      <w:pPr>
        <w:shd w:val="clear" w:color="auto" w:fill="FFFFFF"/>
        <w:spacing w:before="100" w:beforeAutospacing="1" w:after="100" w:afterAutospacing="1" w:line="240" w:lineRule="auto"/>
        <w:jc w:val="center"/>
        <w:rPr>
          <w:rFonts w:ascii="Arial" w:eastAsia="Times New Roman" w:hAnsi="Arial" w:cs="Arial"/>
          <w:color w:val="000000"/>
          <w:sz w:val="17"/>
          <w:szCs w:val="17"/>
          <w:lang w:eastAsia="it-IT"/>
        </w:rPr>
      </w:pPr>
      <w:r w:rsidRPr="002C1546">
        <w:rPr>
          <w:rFonts w:ascii="Verdana" w:eastAsia="Times New Roman" w:hAnsi="Verdana" w:cs="Arial"/>
          <w:i/>
          <w:iCs/>
          <w:color w:val="000000"/>
          <w:sz w:val="20"/>
          <w:szCs w:val="20"/>
          <w:lang w:eastAsia="it-IT"/>
        </w:rPr>
        <w:t> </w:t>
      </w:r>
      <w:r w:rsidRPr="002C1546">
        <w:rPr>
          <w:rFonts w:ascii="Verdana" w:eastAsia="Times New Roman" w:hAnsi="Verdana" w:cs="Arial"/>
          <w:b/>
          <w:bCs/>
          <w:color w:val="000000"/>
          <w:sz w:val="20"/>
          <w:szCs w:val="20"/>
          <w:lang w:eastAsia="it-IT"/>
        </w:rPr>
        <w:t>Punto 5) all’</w:t>
      </w:r>
      <w:proofErr w:type="spellStart"/>
      <w:r w:rsidRPr="002C1546">
        <w:rPr>
          <w:rFonts w:ascii="Verdana" w:eastAsia="Times New Roman" w:hAnsi="Verdana" w:cs="Arial"/>
          <w:b/>
          <w:bCs/>
          <w:color w:val="000000"/>
          <w:sz w:val="20"/>
          <w:szCs w:val="20"/>
          <w:lang w:eastAsia="it-IT"/>
        </w:rPr>
        <w:t>O.d.G.</w:t>
      </w:r>
      <w:proofErr w:type="spellEnd"/>
      <w:r w:rsidRPr="002C1546">
        <w:rPr>
          <w:rFonts w:ascii="Verdana" w:eastAsia="Times New Roman" w:hAnsi="Verdana" w:cs="Arial"/>
          <w:b/>
          <w:bCs/>
          <w:color w:val="000000"/>
          <w:sz w:val="20"/>
          <w:szCs w:val="20"/>
          <w:lang w:eastAsia="it-IT"/>
        </w:rPr>
        <w:t>:</w:t>
      </w:r>
    </w:p>
    <w:p w:rsidR="002C1546" w:rsidRPr="002C1546" w:rsidRDefault="002C1546" w:rsidP="002C1546">
      <w:pPr>
        <w:shd w:val="clear" w:color="auto" w:fill="FFFFFF"/>
        <w:spacing w:after="0" w:line="240" w:lineRule="auto"/>
        <w:jc w:val="both"/>
        <w:rPr>
          <w:rFonts w:ascii="Arial" w:eastAsia="Times New Roman" w:hAnsi="Arial" w:cs="Arial"/>
          <w:color w:val="000000"/>
          <w:sz w:val="17"/>
          <w:szCs w:val="17"/>
          <w:lang w:eastAsia="it-IT"/>
        </w:rPr>
      </w:pPr>
      <w:r w:rsidRPr="002C1546">
        <w:rPr>
          <w:rFonts w:ascii="Verdana" w:eastAsia="Times New Roman" w:hAnsi="Verdana" w:cs="Arial"/>
          <w:color w:val="000000"/>
          <w:sz w:val="20"/>
          <w:szCs w:val="20"/>
          <w:lang w:eastAsia="it-IT"/>
        </w:rPr>
        <w:t>ACQUISIZIONE DELLA DESIGNAZIONE DI TRE RAPPRESENTANTI IN SENO ALLA “GIURIA” DELLA CITTÀ “CAPITALE ITALIANA DELLA CULTURA” AI SENSI DELL’ARTICOLO 2, COMMA 3, DEL DECRETO DEL MINISTRO DEI BENI E DELLE ATTIVITÀ CULTURALI E DEL TURISMO DEL 16 FEBBRAIO 2016. (BENI E ATTIVITA’ CULTURALI E TURISMO)</w:t>
      </w:r>
    </w:p>
    <w:p w:rsidR="002C1546" w:rsidRDefault="002C1546" w:rsidP="002C1546">
      <w:pPr>
        <w:shd w:val="clear" w:color="auto" w:fill="FFFFFF"/>
        <w:spacing w:after="0" w:line="240" w:lineRule="auto"/>
        <w:jc w:val="both"/>
        <w:rPr>
          <w:rFonts w:ascii="Verdana" w:eastAsia="Times New Roman" w:hAnsi="Verdana" w:cs="Arial"/>
          <w:i/>
          <w:iCs/>
          <w:color w:val="000000"/>
          <w:sz w:val="20"/>
          <w:szCs w:val="20"/>
          <w:lang w:eastAsia="it-IT"/>
        </w:rPr>
      </w:pPr>
      <w:r w:rsidRPr="002C1546">
        <w:rPr>
          <w:rFonts w:ascii="Verdana" w:eastAsia="Times New Roman" w:hAnsi="Verdana" w:cs="Arial"/>
          <w:i/>
          <w:iCs/>
          <w:color w:val="000000"/>
          <w:sz w:val="20"/>
          <w:szCs w:val="20"/>
          <w:lang w:eastAsia="it-IT"/>
        </w:rPr>
        <w:t>Acquisizione della designazione ai sensi dell’articolo 9, comma 2, lettera d) del decreto legislativo 28 agosto 1997, n. 281.</w:t>
      </w:r>
    </w:p>
    <w:p w:rsidR="003A2921" w:rsidRDefault="003A2921" w:rsidP="002C1546">
      <w:pPr>
        <w:shd w:val="clear" w:color="auto" w:fill="FFFFFF"/>
        <w:spacing w:after="0" w:line="240" w:lineRule="auto"/>
        <w:jc w:val="both"/>
        <w:rPr>
          <w:rFonts w:ascii="Verdana" w:eastAsia="Times New Roman" w:hAnsi="Verdana" w:cs="Arial"/>
          <w:i/>
          <w:iCs/>
          <w:color w:val="000000"/>
          <w:sz w:val="20"/>
          <w:szCs w:val="20"/>
          <w:lang w:eastAsia="it-IT"/>
        </w:rPr>
      </w:pPr>
    </w:p>
    <w:p w:rsidR="003A2921" w:rsidRPr="00C907BA" w:rsidRDefault="003A2921" w:rsidP="003A2921">
      <w:pPr>
        <w:shd w:val="clear" w:color="auto" w:fill="FFFFFF"/>
        <w:spacing w:after="0" w:line="240" w:lineRule="auto"/>
        <w:jc w:val="both"/>
        <w:rPr>
          <w:rFonts w:ascii="Arial" w:eastAsia="Times New Roman" w:hAnsi="Arial" w:cs="Arial"/>
          <w:color w:val="000000"/>
          <w:sz w:val="17"/>
          <w:szCs w:val="17"/>
          <w:u w:val="single"/>
          <w:lang w:eastAsia="it-IT"/>
        </w:rPr>
      </w:pPr>
      <w:r>
        <w:rPr>
          <w:rFonts w:ascii="Verdana" w:eastAsia="Times New Roman" w:hAnsi="Verdana" w:cs="Arial"/>
          <w:i/>
          <w:iCs/>
          <w:color w:val="000000"/>
          <w:sz w:val="20"/>
          <w:szCs w:val="20"/>
          <w:u w:val="single"/>
          <w:lang w:eastAsia="it-IT"/>
        </w:rPr>
        <w:t>Designazioni rese</w:t>
      </w:r>
    </w:p>
    <w:p w:rsidR="003A2921" w:rsidRPr="002C1546" w:rsidRDefault="003A2921" w:rsidP="002C1546">
      <w:pPr>
        <w:shd w:val="clear" w:color="auto" w:fill="FFFFFF"/>
        <w:spacing w:after="0" w:line="240" w:lineRule="auto"/>
        <w:jc w:val="both"/>
        <w:rPr>
          <w:rFonts w:ascii="Arial" w:eastAsia="Times New Roman" w:hAnsi="Arial" w:cs="Arial"/>
          <w:color w:val="000000"/>
          <w:sz w:val="17"/>
          <w:szCs w:val="17"/>
          <w:lang w:eastAsia="it-IT"/>
        </w:rPr>
      </w:pPr>
    </w:p>
    <w:p w:rsidR="006F3009" w:rsidRDefault="003A2921"/>
    <w:sectPr w:rsidR="006F30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46"/>
    <w:rsid w:val="002C1546"/>
    <w:rsid w:val="003A2921"/>
    <w:rsid w:val="003E3074"/>
    <w:rsid w:val="00770B96"/>
    <w:rsid w:val="00C90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C462"/>
  <w15:chartTrackingRefBased/>
  <w15:docId w15:val="{9D43CBF4-4C0F-4ABD-980A-3A9A2B2F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08534">
      <w:bodyDiv w:val="1"/>
      <w:marLeft w:val="0"/>
      <w:marRight w:val="0"/>
      <w:marTop w:val="0"/>
      <w:marBottom w:val="0"/>
      <w:divBdr>
        <w:top w:val="none" w:sz="0" w:space="0" w:color="auto"/>
        <w:left w:val="none" w:sz="0" w:space="0" w:color="auto"/>
        <w:bottom w:val="none" w:sz="0" w:space="0" w:color="auto"/>
        <w:right w:val="none" w:sz="0" w:space="0" w:color="auto"/>
      </w:divBdr>
      <w:divsChild>
        <w:div w:id="1357852525">
          <w:marLeft w:val="75"/>
          <w:marRight w:val="75"/>
          <w:marTop w:val="0"/>
          <w:marBottom w:val="60"/>
          <w:divBdr>
            <w:top w:val="none" w:sz="0" w:space="0" w:color="auto"/>
            <w:left w:val="none" w:sz="0" w:space="0" w:color="auto"/>
            <w:bottom w:val="none" w:sz="0" w:space="0" w:color="auto"/>
            <w:right w:val="none" w:sz="0" w:space="0" w:color="auto"/>
          </w:divBdr>
        </w:div>
        <w:div w:id="1890800912">
          <w:marLeft w:val="0"/>
          <w:marRight w:val="0"/>
          <w:marTop w:val="0"/>
          <w:marBottom w:val="0"/>
          <w:divBdr>
            <w:top w:val="dotted" w:sz="6" w:space="3" w:color="99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2</cp:revision>
  <dcterms:created xsi:type="dcterms:W3CDTF">2016-09-16T07:02:00Z</dcterms:created>
  <dcterms:modified xsi:type="dcterms:W3CDTF">2016-09-16T10:53:00Z</dcterms:modified>
</cp:coreProperties>
</file>